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4294DD3" w:rsidR="00DC06A4" w:rsidRPr="00DC06A4" w:rsidRDefault="00DC06A4" w:rsidP="000021C3">
            <w:pPr>
              <w:pStyle w:val="RefTableHeader"/>
            </w:pPr>
            <w:r w:rsidRPr="00DC06A4">
              <w:t>1665-A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861B1B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41E85A8" w:rsidR="004B15BB" w:rsidRPr="000021C3" w:rsidRDefault="00DC06A4" w:rsidP="000021C3">
      <w:pPr>
        <w:pStyle w:val="Heading1"/>
        <w:rPr>
          <w:color w:val="000000" w:themeColor="text1"/>
        </w:rPr>
      </w:pPr>
      <w:r w:rsidRPr="000021C3">
        <w:rPr>
          <w:color w:val="000000" w:themeColor="text1"/>
        </w:rPr>
        <w:t>Specialty Guideline Management</w:t>
      </w:r>
      <w:r w:rsidR="008C54D9" w:rsidRPr="000021C3">
        <w:rPr>
          <w:color w:val="000000" w:themeColor="text1"/>
        </w:rPr>
        <w:br/>
      </w:r>
      <w:r w:rsidRPr="000021C3">
        <w:rPr>
          <w:color w:val="000000" w:themeColor="text1"/>
        </w:rPr>
        <w:t>temozolomide</w:t>
      </w:r>
      <w:r w:rsidR="0070747C">
        <w:rPr>
          <w:color w:val="000000" w:themeColor="text1"/>
        </w:rPr>
        <w:t>-Temodar</w:t>
      </w:r>
    </w:p>
    <w:p w14:paraId="5455152B" w14:textId="75D7F1C5" w:rsidR="008E0F0D" w:rsidRDefault="00C64534" w:rsidP="00DC06A4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08DA23AA" w14:textId="266A5E12" w:rsidR="0070747C" w:rsidRPr="0070747C" w:rsidRDefault="0070747C" w:rsidP="0070747C">
      <w:pPr>
        <w:pStyle w:val="BodyText"/>
      </w:pPr>
      <w:r w:rsidRPr="0070747C">
        <w:t>Drugs that are listed in the following table include both brand and generic and all dosage forms and strengths unless otherwise stated. Over-the-counter (OTC)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0021C3" w:rsidRPr="00BD1CC1" w14:paraId="23D276F9" w14:textId="77777777" w:rsidTr="000C5A6F">
        <w:trPr>
          <w:cantSplit/>
        </w:trPr>
        <w:tc>
          <w:tcPr>
            <w:tcW w:w="5265" w:type="dxa"/>
          </w:tcPr>
          <w:p w14:paraId="3C169418" w14:textId="157CCD1A" w:rsidR="000021C3" w:rsidRPr="00DC06A4" w:rsidRDefault="000021C3" w:rsidP="00E82ABA">
            <w:pPr>
              <w:pStyle w:val="TableDataUnpadded"/>
            </w:pPr>
            <w:r w:rsidRPr="00DC06A4">
              <w:t>Temodar</w:t>
            </w:r>
          </w:p>
        </w:tc>
        <w:tc>
          <w:tcPr>
            <w:tcW w:w="5595" w:type="dxa"/>
          </w:tcPr>
          <w:p w14:paraId="493C27DF" w14:textId="75578FF6" w:rsidR="000021C3" w:rsidRPr="00BD1CC1" w:rsidRDefault="000021C3" w:rsidP="00E82ABA">
            <w:pPr>
              <w:pStyle w:val="TableDataUnpadded"/>
            </w:pPr>
            <w:r w:rsidRPr="00DC06A4">
              <w:t>temozolomide</w:t>
            </w:r>
          </w:p>
        </w:tc>
      </w:tr>
    </w:tbl>
    <w:bookmarkEnd w:id="0"/>
    <w:p w14:paraId="14CE6108" w14:textId="59A79E72" w:rsidR="00FC1AAD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5DE8BF74" w14:textId="512B4312" w:rsidR="00DC06A4" w:rsidRPr="00DC06A4" w:rsidRDefault="00DC06A4" w:rsidP="000021C3">
      <w:pPr>
        <w:pStyle w:val="BodyText"/>
      </w:pPr>
      <w:r w:rsidRPr="00DC06A4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7A30C21D" w:rsidR="00ED052F" w:rsidRPr="000021C3" w:rsidRDefault="00ED052F" w:rsidP="00ED052F">
      <w:pPr>
        <w:pStyle w:val="Heading3"/>
        <w:keepNext w:val="0"/>
        <w:rPr>
          <w:vertAlign w:val="superscript"/>
        </w:rPr>
      </w:pPr>
      <w:r w:rsidRPr="00BD1CC1">
        <w:t>FDA-approved Indications</w:t>
      </w:r>
      <w:r w:rsidR="00DC06A4" w:rsidRPr="000021C3">
        <w:rPr>
          <w:vertAlign w:val="superscript"/>
        </w:rPr>
        <w:t>1,2</w:t>
      </w:r>
    </w:p>
    <w:p w14:paraId="6139FC0A" w14:textId="1B678BAD" w:rsidR="00DC06A4" w:rsidRDefault="00DC06A4" w:rsidP="00DC06A4">
      <w:pPr>
        <w:pStyle w:val="Heading4"/>
      </w:pPr>
      <w:r w:rsidRPr="00DC06A4">
        <w:t>Newly Diagnosed Glioblastoma</w:t>
      </w:r>
    </w:p>
    <w:p w14:paraId="3BD7184F" w14:textId="481B9A8E" w:rsidR="00DC06A4" w:rsidRDefault="00DC06A4" w:rsidP="000021C3">
      <w:pPr>
        <w:pStyle w:val="BodyText"/>
      </w:pPr>
      <w:r w:rsidRPr="00DC06A4">
        <w:t>Temodar is indicated for the treatment of adults with newly diagnosed glioblastoma concomitantly with radiotherapy and then as maintenance treatment.</w:t>
      </w:r>
    </w:p>
    <w:p w14:paraId="75531EE5" w14:textId="54650429" w:rsidR="00DC06A4" w:rsidRDefault="00DC06A4" w:rsidP="00DC06A4">
      <w:pPr>
        <w:pStyle w:val="Heading4"/>
      </w:pPr>
      <w:r w:rsidRPr="00DC06A4">
        <w:t>Anaplastic Astrocytoma</w:t>
      </w:r>
    </w:p>
    <w:p w14:paraId="15E74B6C" w14:textId="77777777" w:rsidR="00DC06A4" w:rsidRDefault="00DC06A4" w:rsidP="000021C3">
      <w:pPr>
        <w:pStyle w:val="BodyText"/>
      </w:pPr>
      <w:r>
        <w:t>Temodar is indicated for the:</w:t>
      </w:r>
    </w:p>
    <w:p w14:paraId="654521EF" w14:textId="2CF61DA3" w:rsidR="00DC06A4" w:rsidRDefault="00DC06A4" w:rsidP="00DC06A4">
      <w:pPr>
        <w:pStyle w:val="ListParagraph"/>
        <w:numPr>
          <w:ilvl w:val="0"/>
          <w:numId w:val="26"/>
        </w:numPr>
        <w:contextualSpacing w:val="0"/>
      </w:pPr>
      <w:r>
        <w:t>adjuvant treatment of adults with newly diagnosed anaplastic astrocytoma;</w:t>
      </w:r>
    </w:p>
    <w:p w14:paraId="0A52E669" w14:textId="78DBC111" w:rsidR="00DC06A4" w:rsidRPr="00DC06A4" w:rsidRDefault="00DC06A4" w:rsidP="00DC06A4">
      <w:pPr>
        <w:pStyle w:val="ListParagraph"/>
        <w:numPr>
          <w:ilvl w:val="0"/>
          <w:numId w:val="26"/>
        </w:numPr>
        <w:contextualSpacing w:val="0"/>
      </w:pPr>
      <w:r>
        <w:t>treatment of adults with refractory anaplastic astrocytoma.</w:t>
      </w:r>
    </w:p>
    <w:p w14:paraId="0B5EC236" w14:textId="619C4962" w:rsidR="0044763A" w:rsidRDefault="009F2EF1" w:rsidP="0044763A">
      <w:pPr>
        <w:pStyle w:val="Heading3"/>
      </w:pPr>
      <w:r>
        <w:t>Compendial Uses</w:t>
      </w:r>
      <w:r w:rsidR="00DC06A4" w:rsidRPr="000021C3">
        <w:rPr>
          <w:vertAlign w:val="superscript"/>
        </w:rPr>
        <w:t>3</w:t>
      </w:r>
      <w:r w:rsidR="000C06B0">
        <w:rPr>
          <w:vertAlign w:val="superscript"/>
        </w:rPr>
        <w:t>-4</w:t>
      </w:r>
    </w:p>
    <w:p w14:paraId="437508D5" w14:textId="77777777" w:rsidR="00DC06A4" w:rsidRPr="00AB54A6" w:rsidRDefault="00DC06A4" w:rsidP="000021C3">
      <w:pPr>
        <w:pStyle w:val="ListParagraph"/>
        <w:numPr>
          <w:ilvl w:val="0"/>
          <w:numId w:val="29"/>
        </w:numPr>
        <w:ind w:left="720"/>
        <w:contextualSpacing w:val="0"/>
      </w:pPr>
      <w:r w:rsidRPr="00AB54A6">
        <w:t>Central nervous system (CNS) cancer</w:t>
      </w:r>
    </w:p>
    <w:p w14:paraId="18281138" w14:textId="59741DDE" w:rsidR="000C06B0" w:rsidRDefault="000C06B0" w:rsidP="000021C3">
      <w:pPr>
        <w:pStyle w:val="ListParagraph"/>
        <w:numPr>
          <w:ilvl w:val="0"/>
          <w:numId w:val="29"/>
        </w:numPr>
        <w:ind w:left="720"/>
        <w:contextualSpacing w:val="0"/>
      </w:pPr>
      <w:r>
        <w:lastRenderedPageBreak/>
        <w:t>CNS metastases from solid tumors</w:t>
      </w:r>
    </w:p>
    <w:p w14:paraId="7BE0B6BB" w14:textId="03C78438" w:rsidR="00DC06A4" w:rsidRDefault="00DC06A4" w:rsidP="000021C3">
      <w:pPr>
        <w:pStyle w:val="ListParagraph"/>
        <w:numPr>
          <w:ilvl w:val="0"/>
          <w:numId w:val="29"/>
        </w:numPr>
        <w:ind w:left="720"/>
        <w:contextualSpacing w:val="0"/>
      </w:pPr>
      <w:r>
        <w:t>Ewing sarcoma</w:t>
      </w:r>
    </w:p>
    <w:p w14:paraId="76CF1E97" w14:textId="77777777" w:rsidR="00DC06A4" w:rsidRPr="00AB54A6" w:rsidRDefault="00DC06A4" w:rsidP="000021C3">
      <w:pPr>
        <w:pStyle w:val="ListParagraph"/>
        <w:numPr>
          <w:ilvl w:val="0"/>
          <w:numId w:val="29"/>
        </w:numPr>
        <w:ind w:left="720"/>
        <w:contextualSpacing w:val="0"/>
      </w:pPr>
      <w:r w:rsidRPr="00AB54A6">
        <w:t>Neuroendocrine tumors of the pancreas, gastrointestinal tract, lung, and thymus</w:t>
      </w:r>
    </w:p>
    <w:p w14:paraId="02D56E09" w14:textId="77777777" w:rsidR="00DC06A4" w:rsidRPr="00AB54A6" w:rsidRDefault="00DC06A4" w:rsidP="000021C3">
      <w:pPr>
        <w:pStyle w:val="ListParagraph"/>
        <w:numPr>
          <w:ilvl w:val="0"/>
          <w:numId w:val="29"/>
        </w:numPr>
        <w:ind w:left="720"/>
        <w:contextualSpacing w:val="0"/>
      </w:pPr>
      <w:r w:rsidRPr="00AB54A6">
        <w:t>Well-differentiated grade 3 neuroendocrine tumors</w:t>
      </w:r>
    </w:p>
    <w:p w14:paraId="50EB0764" w14:textId="77777777" w:rsidR="00DC06A4" w:rsidRPr="00AB54A6" w:rsidRDefault="00DC06A4" w:rsidP="000021C3">
      <w:pPr>
        <w:pStyle w:val="ListParagraph"/>
        <w:numPr>
          <w:ilvl w:val="0"/>
          <w:numId w:val="29"/>
        </w:numPr>
        <w:ind w:left="720"/>
        <w:contextualSpacing w:val="0"/>
      </w:pPr>
      <w:r w:rsidRPr="00AB54A6">
        <w:t>Extrapulmonary Poorly differentiated (high grade) neuroendocrine carcinoma/large or small cell carcinoma</w:t>
      </w:r>
    </w:p>
    <w:p w14:paraId="6387630A" w14:textId="77777777" w:rsidR="00DC06A4" w:rsidRPr="00AB54A6" w:rsidRDefault="00DC06A4" w:rsidP="000021C3">
      <w:pPr>
        <w:pStyle w:val="ListParagraph"/>
        <w:numPr>
          <w:ilvl w:val="0"/>
          <w:numId w:val="29"/>
        </w:numPr>
        <w:ind w:left="720"/>
        <w:contextualSpacing w:val="0"/>
      </w:pPr>
      <w:r w:rsidRPr="00AB54A6">
        <w:t>Pheochromocytoma/paraganglioma</w:t>
      </w:r>
    </w:p>
    <w:p w14:paraId="5BEF7410" w14:textId="77777777" w:rsidR="00DC06A4" w:rsidRPr="00AB54A6" w:rsidRDefault="00DC06A4" w:rsidP="000021C3">
      <w:pPr>
        <w:pStyle w:val="ListParagraph"/>
        <w:numPr>
          <w:ilvl w:val="0"/>
          <w:numId w:val="29"/>
        </w:numPr>
        <w:ind w:left="720"/>
        <w:contextualSpacing w:val="0"/>
      </w:pPr>
      <w:r w:rsidRPr="00AB54A6">
        <w:t>Cutaneous melanoma</w:t>
      </w:r>
    </w:p>
    <w:p w14:paraId="0C446634" w14:textId="77777777" w:rsidR="00DC06A4" w:rsidRPr="00AB54A6" w:rsidRDefault="00DC06A4" w:rsidP="000021C3">
      <w:pPr>
        <w:pStyle w:val="ListParagraph"/>
        <w:numPr>
          <w:ilvl w:val="0"/>
          <w:numId w:val="29"/>
        </w:numPr>
        <w:ind w:left="720"/>
        <w:contextualSpacing w:val="0"/>
      </w:pPr>
      <w:r w:rsidRPr="00AB54A6">
        <w:t>Uveal melanoma</w:t>
      </w:r>
    </w:p>
    <w:p w14:paraId="37118AF2" w14:textId="77777777" w:rsidR="00DC06A4" w:rsidRPr="00AB54A6" w:rsidRDefault="00DC06A4" w:rsidP="000021C3">
      <w:pPr>
        <w:pStyle w:val="ListParagraph"/>
        <w:numPr>
          <w:ilvl w:val="0"/>
          <w:numId w:val="29"/>
        </w:numPr>
        <w:ind w:left="720"/>
        <w:contextualSpacing w:val="0"/>
      </w:pPr>
      <w:r w:rsidRPr="00AB54A6">
        <w:t>Mycosis fungoides (MF)/Sézary syndrome (SS)</w:t>
      </w:r>
    </w:p>
    <w:p w14:paraId="370C2647" w14:textId="636D1833" w:rsidR="00DC06A4" w:rsidRDefault="00DC06A4" w:rsidP="000021C3">
      <w:pPr>
        <w:pStyle w:val="ListParagraph"/>
        <w:numPr>
          <w:ilvl w:val="0"/>
          <w:numId w:val="29"/>
        </w:numPr>
        <w:ind w:left="720"/>
        <w:contextualSpacing w:val="0"/>
      </w:pPr>
      <w:r>
        <w:t>Small cell lung cancer</w:t>
      </w:r>
    </w:p>
    <w:p w14:paraId="68254CC1" w14:textId="77777777" w:rsidR="00DC06A4" w:rsidRPr="00AB54A6" w:rsidRDefault="00DC06A4" w:rsidP="000021C3">
      <w:pPr>
        <w:pStyle w:val="ListParagraph"/>
        <w:numPr>
          <w:ilvl w:val="0"/>
          <w:numId w:val="29"/>
        </w:numPr>
        <w:ind w:left="720"/>
        <w:contextualSpacing w:val="0"/>
      </w:pPr>
      <w:r w:rsidRPr="00AB54A6">
        <w:t>Soft tissue sarcoma</w:t>
      </w:r>
    </w:p>
    <w:p w14:paraId="3BEB3386" w14:textId="79FE7595" w:rsidR="00DC06A4" w:rsidRPr="00AB54A6" w:rsidRDefault="00DC06A4" w:rsidP="00A853A1">
      <w:pPr>
        <w:pStyle w:val="ListParagraph"/>
        <w:numPr>
          <w:ilvl w:val="0"/>
          <w:numId w:val="29"/>
        </w:numPr>
        <w:ind w:left="720"/>
        <w:contextualSpacing w:val="0"/>
      </w:pPr>
      <w:r w:rsidRPr="00AB54A6">
        <w:t>Uterine sarcoma</w:t>
      </w:r>
    </w:p>
    <w:p w14:paraId="6F66311D" w14:textId="15392862" w:rsidR="0070747C" w:rsidRPr="00AB54A6" w:rsidRDefault="0070747C" w:rsidP="00A853A1">
      <w:pPr>
        <w:pStyle w:val="ListParagraph"/>
        <w:numPr>
          <w:ilvl w:val="0"/>
          <w:numId w:val="29"/>
        </w:numPr>
        <w:ind w:left="720"/>
        <w:contextualSpacing w:val="0"/>
      </w:pPr>
      <w:r w:rsidRPr="00AB54A6">
        <w:t>Neuroblastoma</w:t>
      </w:r>
    </w:p>
    <w:p w14:paraId="0D5A9DD5" w14:textId="4CCEF92A" w:rsidR="009A5649" w:rsidRPr="00BD1CC1" w:rsidRDefault="009A5649" w:rsidP="009A5649">
      <w:pPr>
        <w:pStyle w:val="BodyText"/>
        <w:rPr>
          <w:rFonts w:eastAsia="Arial"/>
        </w:rPr>
      </w:pPr>
      <w:r w:rsidRPr="00BD1CC1">
        <w:t xml:space="preserve">All other indications are considered experimental/investigational and </w:t>
      </w:r>
      <w:r w:rsidRPr="00BD1CC1">
        <w:rPr>
          <w:rFonts w:eastAsia="Arial"/>
        </w:rPr>
        <w:t>not medically necessary.</w:t>
      </w:r>
    </w:p>
    <w:p w14:paraId="50A38FBA" w14:textId="3B3997A0" w:rsidR="00FE0C63" w:rsidRDefault="00685107" w:rsidP="00E050E1">
      <w:pPr>
        <w:pStyle w:val="Heading2"/>
      </w:pPr>
      <w:r>
        <w:t>Coverage Criteria</w:t>
      </w:r>
    </w:p>
    <w:p w14:paraId="4CD66D1A" w14:textId="68504858" w:rsidR="00DC06A4" w:rsidRDefault="00DC06A4" w:rsidP="00DC06A4">
      <w:pPr>
        <w:pStyle w:val="Heading3"/>
      </w:pPr>
      <w:r w:rsidRPr="00DC06A4">
        <w:t>Central nervous system (CNS) cancer</w:t>
      </w:r>
      <w:r w:rsidRPr="000021C3">
        <w:rPr>
          <w:vertAlign w:val="superscript"/>
        </w:rPr>
        <w:t>1-3</w:t>
      </w:r>
    </w:p>
    <w:p w14:paraId="501F5E40" w14:textId="1F6B7FD0" w:rsidR="00DC06A4" w:rsidRDefault="00DC06A4" w:rsidP="00DC06A4">
      <w:pPr>
        <w:pStyle w:val="BodyText"/>
      </w:pPr>
      <w:r w:rsidRPr="00DC06A4">
        <w:t>Authorization of 12 months may be granted for treatment of CNS cancers.</w:t>
      </w:r>
    </w:p>
    <w:p w14:paraId="544BF270" w14:textId="5749A6DF" w:rsidR="00D94860" w:rsidRDefault="00D94860" w:rsidP="00D94860">
      <w:pPr>
        <w:pStyle w:val="Heading3"/>
      </w:pPr>
      <w:r w:rsidRPr="00DC06A4">
        <w:t xml:space="preserve">CNS </w:t>
      </w:r>
      <w:r>
        <w:t>metastases from solid tumors</w:t>
      </w:r>
      <w:r>
        <w:rPr>
          <w:vertAlign w:val="superscript"/>
        </w:rPr>
        <w:t>4</w:t>
      </w:r>
    </w:p>
    <w:p w14:paraId="00A08E07" w14:textId="0A6E91BD" w:rsidR="00D94860" w:rsidRDefault="00D94860" w:rsidP="00D94860">
      <w:pPr>
        <w:pStyle w:val="BodyText"/>
      </w:pPr>
      <w:r w:rsidRPr="00DC06A4">
        <w:t xml:space="preserve">Authorization of 12 months may be granted for treatment of </w:t>
      </w:r>
      <w:r>
        <w:t>brain metastases due to solid tumors</w:t>
      </w:r>
      <w:r w:rsidRPr="00DC06A4">
        <w:t>.</w:t>
      </w:r>
    </w:p>
    <w:p w14:paraId="5D1A2063" w14:textId="03014D3E" w:rsidR="00DC06A4" w:rsidRDefault="00DC06A4" w:rsidP="00DC06A4">
      <w:pPr>
        <w:pStyle w:val="Heading3"/>
      </w:pPr>
      <w:r w:rsidRPr="00DC06A4">
        <w:t>Ewing sarcoma</w:t>
      </w:r>
      <w:r w:rsidRPr="000021C3">
        <w:rPr>
          <w:vertAlign w:val="superscript"/>
        </w:rPr>
        <w:t>3</w:t>
      </w:r>
    </w:p>
    <w:p w14:paraId="0E4BF2EF" w14:textId="2DB82E1A" w:rsidR="00DC06A4" w:rsidRDefault="00DC06A4" w:rsidP="00DC06A4">
      <w:pPr>
        <w:pStyle w:val="BodyText"/>
      </w:pPr>
      <w:r w:rsidRPr="00DC06A4">
        <w:t>Authorization of 12 months may be granted for treatment of Ewing sarcoma</w:t>
      </w:r>
      <w:r w:rsidR="00E276DC">
        <w:t xml:space="preserve"> as second-line therapy in combination with irinotecan with or without vincristine for relapsed, progressive or metastatic disease</w:t>
      </w:r>
      <w:r w:rsidRPr="00DC06A4">
        <w:t>.</w:t>
      </w:r>
    </w:p>
    <w:p w14:paraId="55726423" w14:textId="7F86D709" w:rsidR="00DC06A4" w:rsidRDefault="00DC06A4" w:rsidP="00DC06A4">
      <w:pPr>
        <w:pStyle w:val="Heading3"/>
      </w:pPr>
      <w:r w:rsidRPr="00DC06A4">
        <w:t>Neuroendocrine tumors</w:t>
      </w:r>
      <w:r w:rsidRPr="000021C3">
        <w:rPr>
          <w:vertAlign w:val="superscript"/>
        </w:rPr>
        <w:t>3</w:t>
      </w:r>
    </w:p>
    <w:p w14:paraId="3395B7AB" w14:textId="6634E485" w:rsidR="00DC06A4" w:rsidRPr="00D94860" w:rsidRDefault="00DC06A4" w:rsidP="00DC06A4">
      <w:pPr>
        <w:pStyle w:val="BodyText"/>
      </w:pPr>
      <w:r w:rsidRPr="00D94860">
        <w:t>Authorization of 12 months may be granted for treatment of neuroendocrine tumors.</w:t>
      </w:r>
    </w:p>
    <w:p w14:paraId="74A02C6F" w14:textId="7257E04A" w:rsidR="00DC06A4" w:rsidRPr="00D94860" w:rsidRDefault="00DC06A4" w:rsidP="00DC06A4">
      <w:pPr>
        <w:pStyle w:val="Heading3"/>
      </w:pPr>
      <w:r w:rsidRPr="00D94860">
        <w:lastRenderedPageBreak/>
        <w:t>Pheochromocytoma/paraganglioma</w:t>
      </w:r>
      <w:r w:rsidRPr="00D94860">
        <w:rPr>
          <w:vertAlign w:val="superscript"/>
        </w:rPr>
        <w:t>3</w:t>
      </w:r>
    </w:p>
    <w:p w14:paraId="78BE3628" w14:textId="6C705A0A" w:rsidR="00DC06A4" w:rsidRPr="00D94860" w:rsidRDefault="00DC06A4" w:rsidP="00DC06A4">
      <w:pPr>
        <w:pStyle w:val="BodyText"/>
      </w:pPr>
      <w:r w:rsidRPr="00D94860">
        <w:t>Authorization of 12 months may be granted for treatment of pheochromocytoma or paraganglioma</w:t>
      </w:r>
      <w:r w:rsidR="00261E36" w:rsidRPr="00D94860">
        <w:t xml:space="preserve"> as single agent first-line therapy for unresectable or metastatic disease</w:t>
      </w:r>
      <w:r w:rsidRPr="00D94860">
        <w:t>.</w:t>
      </w:r>
    </w:p>
    <w:p w14:paraId="4938488F" w14:textId="4149291B" w:rsidR="00DC06A4" w:rsidRPr="00D94860" w:rsidRDefault="00DC06A4" w:rsidP="00DC06A4">
      <w:pPr>
        <w:pStyle w:val="Heading3"/>
      </w:pPr>
      <w:r w:rsidRPr="00D94860">
        <w:t>Cutaneous Melanoma</w:t>
      </w:r>
      <w:r w:rsidRPr="00D94860">
        <w:rPr>
          <w:vertAlign w:val="superscript"/>
        </w:rPr>
        <w:t>3</w:t>
      </w:r>
    </w:p>
    <w:p w14:paraId="246AE888" w14:textId="484D619E" w:rsidR="00DC06A4" w:rsidRPr="00D94860" w:rsidRDefault="00DC06A4" w:rsidP="00DC06A4">
      <w:pPr>
        <w:pStyle w:val="BodyText"/>
      </w:pPr>
      <w:r w:rsidRPr="00D94860">
        <w:t xml:space="preserve">Authorization of 12 months may be granted for treatment of cutaneous melanoma </w:t>
      </w:r>
      <w:r w:rsidR="00B2461A" w:rsidRPr="00D94860">
        <w:t xml:space="preserve">as single agent subsequent </w:t>
      </w:r>
      <w:r w:rsidR="00DC26E9" w:rsidRPr="00D94860">
        <w:t>therapy</w:t>
      </w:r>
      <w:r w:rsidR="00B2461A" w:rsidRPr="00D94860">
        <w:t xml:space="preserve"> </w:t>
      </w:r>
      <w:r w:rsidRPr="00D94860">
        <w:t>for metastatic or unresectable disease.</w:t>
      </w:r>
    </w:p>
    <w:p w14:paraId="6B836967" w14:textId="4A435A7B" w:rsidR="00DC06A4" w:rsidRPr="00D94860" w:rsidRDefault="00DC06A4" w:rsidP="00DC06A4">
      <w:pPr>
        <w:pStyle w:val="Heading3"/>
      </w:pPr>
      <w:r w:rsidRPr="00D94860">
        <w:t>Uveal Melanoma</w:t>
      </w:r>
      <w:r w:rsidRPr="00D94860">
        <w:rPr>
          <w:vertAlign w:val="superscript"/>
        </w:rPr>
        <w:t>3</w:t>
      </w:r>
    </w:p>
    <w:p w14:paraId="35A70BFC" w14:textId="3CD90F97" w:rsidR="00DC06A4" w:rsidRPr="00D94860" w:rsidRDefault="00DC06A4" w:rsidP="00DC06A4">
      <w:pPr>
        <w:pStyle w:val="BodyText"/>
      </w:pPr>
      <w:r w:rsidRPr="00D94860">
        <w:t>Authorization of 12 months may be granted for treatment of uveal melanoma for unresectable or metastatic disease</w:t>
      </w:r>
      <w:r w:rsidR="00E276DC" w:rsidRPr="00D94860">
        <w:t xml:space="preserve"> as a single agent</w:t>
      </w:r>
      <w:r w:rsidRPr="00D94860">
        <w:t>.</w:t>
      </w:r>
    </w:p>
    <w:p w14:paraId="4C7E52CA" w14:textId="54A311B5" w:rsidR="00DC06A4" w:rsidRPr="00D94860" w:rsidRDefault="00DC06A4" w:rsidP="00DC06A4">
      <w:pPr>
        <w:pStyle w:val="Heading3"/>
        <w:rPr>
          <w:vertAlign w:val="superscript"/>
        </w:rPr>
      </w:pPr>
      <w:r w:rsidRPr="00D94860">
        <w:t>Mycosis fungoides (MF)/Sézary syndrome (SS)</w:t>
      </w:r>
      <w:r w:rsidRPr="00D94860">
        <w:rPr>
          <w:vertAlign w:val="superscript"/>
        </w:rPr>
        <w:t>3</w:t>
      </w:r>
    </w:p>
    <w:p w14:paraId="6015F4A6" w14:textId="1089CD1C" w:rsidR="00DC06A4" w:rsidRPr="00D94860" w:rsidRDefault="00DC06A4" w:rsidP="00DC06A4">
      <w:pPr>
        <w:pStyle w:val="BodyText"/>
      </w:pPr>
      <w:r w:rsidRPr="00D94860">
        <w:t>Authorization of 12 months may be granted for treatment of MF or SS</w:t>
      </w:r>
      <w:r w:rsidR="00E276DC" w:rsidRPr="00D94860">
        <w:t xml:space="preserve"> as single agent subsequent t</w:t>
      </w:r>
      <w:r w:rsidR="00DC26E9" w:rsidRPr="00D94860">
        <w:t>herapy</w:t>
      </w:r>
      <w:r w:rsidR="00E276DC" w:rsidRPr="00D94860">
        <w:t xml:space="preserve"> for CNS involvement</w:t>
      </w:r>
      <w:r w:rsidRPr="00D94860">
        <w:t>.</w:t>
      </w:r>
    </w:p>
    <w:p w14:paraId="1878ED95" w14:textId="167EEF3B" w:rsidR="00DC06A4" w:rsidRPr="00D94860" w:rsidRDefault="00DC06A4" w:rsidP="00DC06A4">
      <w:pPr>
        <w:pStyle w:val="Heading3"/>
      </w:pPr>
      <w:r w:rsidRPr="00D94860">
        <w:t>Small cell lung cancer (SCLC)</w:t>
      </w:r>
      <w:r w:rsidRPr="00D94860">
        <w:rPr>
          <w:vertAlign w:val="superscript"/>
        </w:rPr>
        <w:t>3</w:t>
      </w:r>
    </w:p>
    <w:p w14:paraId="496CC35C" w14:textId="782C1D2D" w:rsidR="00DC06A4" w:rsidRPr="00D94860" w:rsidRDefault="00DC06A4" w:rsidP="00DC06A4">
      <w:pPr>
        <w:pStyle w:val="BodyText"/>
      </w:pPr>
      <w:r w:rsidRPr="00D94860">
        <w:t>Authorization of 12 months may be granted for treatment of SCLC</w:t>
      </w:r>
      <w:r w:rsidR="00DC26E9" w:rsidRPr="00D94860">
        <w:t xml:space="preserve"> as single agent subsequent therapy for relapsed or primary progressive disease</w:t>
      </w:r>
      <w:r w:rsidRPr="00D94860">
        <w:t>.</w:t>
      </w:r>
    </w:p>
    <w:p w14:paraId="43FA95D3" w14:textId="17DB8D0D" w:rsidR="00DC06A4" w:rsidRPr="00D94860" w:rsidRDefault="00CA0834" w:rsidP="00CA0834">
      <w:pPr>
        <w:pStyle w:val="Heading3"/>
      </w:pPr>
      <w:r w:rsidRPr="00D94860">
        <w:t>Soft tissue sarcoma (STS)</w:t>
      </w:r>
      <w:r w:rsidRPr="00D94860">
        <w:rPr>
          <w:vertAlign w:val="superscript"/>
        </w:rPr>
        <w:t>3</w:t>
      </w:r>
    </w:p>
    <w:p w14:paraId="2649EF94" w14:textId="2F9BFBE8" w:rsidR="00CA0834" w:rsidRPr="00D94860" w:rsidRDefault="00CA0834" w:rsidP="00CA0834">
      <w:pPr>
        <w:pStyle w:val="BodyText"/>
      </w:pPr>
      <w:r w:rsidRPr="00D94860">
        <w:t>Authorization of 12 months may be granted for treatment of STS.</w:t>
      </w:r>
    </w:p>
    <w:p w14:paraId="2E327888" w14:textId="0F59ECC4" w:rsidR="00CA0834" w:rsidRPr="00D94860" w:rsidRDefault="00CA0834" w:rsidP="00CA0834">
      <w:pPr>
        <w:pStyle w:val="Heading3"/>
      </w:pPr>
      <w:r w:rsidRPr="00D94860">
        <w:t>Uterine sarcoma</w:t>
      </w:r>
      <w:r w:rsidRPr="00D94860">
        <w:rPr>
          <w:vertAlign w:val="superscript"/>
        </w:rPr>
        <w:t>3</w:t>
      </w:r>
    </w:p>
    <w:p w14:paraId="79C58351" w14:textId="019F9385" w:rsidR="00CA0834" w:rsidRPr="00D94860" w:rsidRDefault="00CA0834" w:rsidP="00CA0834">
      <w:pPr>
        <w:pStyle w:val="BodyText"/>
      </w:pPr>
      <w:r w:rsidRPr="00D94860">
        <w:t>Authorization of 12 months may be granted for treatment of uterine sarcoma</w:t>
      </w:r>
      <w:r w:rsidR="00E276DC" w:rsidRPr="00D94860">
        <w:t xml:space="preserve"> as single agent subsequent therapy for advanced, recurrent/metastatic or inoperable disease</w:t>
      </w:r>
      <w:r w:rsidRPr="00D94860">
        <w:t>.</w:t>
      </w:r>
    </w:p>
    <w:p w14:paraId="1B66591D" w14:textId="30447690" w:rsidR="0070747C" w:rsidRPr="00D94860" w:rsidRDefault="0070747C" w:rsidP="0070747C">
      <w:pPr>
        <w:pStyle w:val="Heading3"/>
        <w:rPr>
          <w:vertAlign w:val="superscript"/>
        </w:rPr>
      </w:pPr>
      <w:r w:rsidRPr="00D94860">
        <w:t>Neuroblastoma</w:t>
      </w:r>
      <w:r w:rsidR="00E276DC" w:rsidRPr="00D94860">
        <w:rPr>
          <w:vertAlign w:val="superscript"/>
        </w:rPr>
        <w:t>3</w:t>
      </w:r>
    </w:p>
    <w:p w14:paraId="46890B41" w14:textId="07126A2A" w:rsidR="0070747C" w:rsidRPr="0070747C" w:rsidRDefault="0070747C" w:rsidP="0070747C">
      <w:pPr>
        <w:pStyle w:val="BodyText"/>
      </w:pPr>
      <w:r w:rsidRPr="00D94860">
        <w:t xml:space="preserve">Authorization of 12 months may be granted for treatment of </w:t>
      </w:r>
      <w:r w:rsidR="00E276DC" w:rsidRPr="00D94860">
        <w:t xml:space="preserve">high-risk </w:t>
      </w:r>
      <w:r w:rsidRPr="00D94860">
        <w:t>neuroblastoma when used in combination with irinotecan, dinutuximab, and sargramostim.</w:t>
      </w:r>
    </w:p>
    <w:p w14:paraId="3A643EC3" w14:textId="23A7C6B2" w:rsidR="00A501AC" w:rsidRPr="00BD1CC1" w:rsidRDefault="00A501AC" w:rsidP="00A501AC">
      <w:pPr>
        <w:pStyle w:val="Heading2"/>
      </w:pPr>
      <w:r w:rsidRPr="00BD1CC1">
        <w:lastRenderedPageBreak/>
        <w:t>Continuation of Therapy</w:t>
      </w:r>
    </w:p>
    <w:p w14:paraId="32C8905D" w14:textId="0F7CF28B" w:rsidR="00A501AC" w:rsidRPr="003D46B0" w:rsidRDefault="00A501AC" w:rsidP="003D46B0">
      <w:pPr>
        <w:pStyle w:val="BodyText"/>
      </w:pPr>
      <w:r w:rsidRPr="003D46B0">
        <w:t xml:space="preserve">Authorization of 12 months may be granted for continued treatment in members requesting reauthorization for an indication </w:t>
      </w:r>
      <w:r w:rsidR="00CA0834" w:rsidRPr="00CA0834">
        <w:t xml:space="preserve">listed in </w:t>
      </w:r>
      <w:r w:rsidR="00670665">
        <w:t xml:space="preserve">the </w:t>
      </w:r>
      <w:r w:rsidR="00025DB7">
        <w:t>Coverage Criteria section</w:t>
      </w:r>
      <w:r w:rsidR="00CA0834" w:rsidRPr="00CA0834">
        <w:t xml:space="preserve"> when there is no evidence of unacceptable toxicity or disease progression while on the current regimen</w:t>
      </w:r>
      <w:r w:rsidRPr="003D46B0">
        <w:t>.</w:t>
      </w:r>
    </w:p>
    <w:p w14:paraId="10DA4309" w14:textId="767E4FB6" w:rsidR="00FF66BF" w:rsidRPr="008D1B34" w:rsidRDefault="00FF66BF" w:rsidP="00FF66BF">
      <w:pPr>
        <w:pStyle w:val="Heading2"/>
      </w:pPr>
      <w:r w:rsidRPr="008D1B34">
        <w:t>References</w:t>
      </w:r>
    </w:p>
    <w:p w14:paraId="2C108F0E" w14:textId="77777777" w:rsidR="0066359B" w:rsidRDefault="00CA0834" w:rsidP="00CA0834">
      <w:pPr>
        <w:pStyle w:val="ReferenceOrdered"/>
      </w:pPr>
      <w:r>
        <w:t>Temodar [package insert]. Rahway, NJ: Merck &amp; Co., Inc.; September 2023.</w:t>
      </w:r>
    </w:p>
    <w:p w14:paraId="132C2913" w14:textId="4D853992" w:rsidR="00CA0834" w:rsidRDefault="00CA0834" w:rsidP="00CA0834">
      <w:pPr>
        <w:pStyle w:val="ReferenceOrdered"/>
      </w:pPr>
      <w:r>
        <w:t xml:space="preserve">Temozolomide [package insert]. Durham, NC: Accord Healthcare, Inc.; </w:t>
      </w:r>
      <w:r w:rsidR="00711A5B">
        <w:t>December 2023</w:t>
      </w:r>
      <w:r>
        <w:t>.</w:t>
      </w:r>
    </w:p>
    <w:p w14:paraId="1CF11658" w14:textId="637D7E13" w:rsidR="00FF66BF" w:rsidRDefault="00CA0834" w:rsidP="00C52389">
      <w:pPr>
        <w:pStyle w:val="ReferenceOrdered"/>
      </w:pPr>
      <w:r>
        <w:t>The NCCN Drugs &amp; Biologics Compendium® © 202</w:t>
      </w:r>
      <w:r w:rsidR="0080638D">
        <w:t>5</w:t>
      </w:r>
      <w:r>
        <w:t xml:space="preserve"> National Comprehensive Cancer Network, Inc. Available at: https://www.nccn.org. Accessed </w:t>
      </w:r>
      <w:r w:rsidR="00FE5A7A">
        <w:t>January 17, 2025</w:t>
      </w:r>
      <w:r w:rsidR="00FF66BF" w:rsidRPr="00BD1CC1">
        <w:t>.</w:t>
      </w:r>
    </w:p>
    <w:p w14:paraId="2FE9DF4B" w14:textId="06D8D258" w:rsidR="00D94860" w:rsidRDefault="00C27C0A" w:rsidP="00C52389">
      <w:pPr>
        <w:pStyle w:val="ReferenceOrdered"/>
      </w:pPr>
      <w:r>
        <w:t xml:space="preserve">Temodar. Lexi-Drugs. UpToDate </w:t>
      </w:r>
      <w:proofErr w:type="spellStart"/>
      <w:r>
        <w:t>Lexidrug</w:t>
      </w:r>
      <w:proofErr w:type="spellEnd"/>
      <w:r>
        <w:t xml:space="preserve">. UpToDate Inc. </w:t>
      </w:r>
      <w:hyperlink r:id="rId15" w:history="1">
        <w:r w:rsidRPr="0026157F">
          <w:rPr>
            <w:rStyle w:val="Hyperlink"/>
          </w:rPr>
          <w:t>https://online.lexi.com</w:t>
        </w:r>
      </w:hyperlink>
      <w:r>
        <w:t>. Accessed January 27, 2025.</w:t>
      </w:r>
    </w:p>
    <w:sectPr w:rsidR="00D94860" w:rsidSect="0070747C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2BD40" w14:textId="77777777" w:rsidR="0041725A" w:rsidRDefault="0041725A">
      <w:r>
        <w:separator/>
      </w:r>
    </w:p>
  </w:endnote>
  <w:endnote w:type="continuationSeparator" w:id="0">
    <w:p w14:paraId="10BD57C5" w14:textId="77777777" w:rsidR="0041725A" w:rsidRDefault="0041725A">
      <w:r>
        <w:continuationSeparator/>
      </w:r>
    </w:p>
  </w:endnote>
  <w:endnote w:type="continuationNotice" w:id="1">
    <w:p w14:paraId="13E50580" w14:textId="77777777" w:rsidR="0041725A" w:rsidRDefault="004172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133B6204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112921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445792" w:rsidRPr="00445792">
      <w:rPr>
        <w:rFonts w:cs="Arial"/>
        <w:noProof/>
        <w:sz w:val="16"/>
        <w:szCs w:val="16"/>
        <w:lang w:val="pt-BR"/>
      </w:rPr>
      <w:t>temozolomide-Temodar</w:t>
    </w:r>
    <w:r w:rsidR="00445792">
      <w:rPr>
        <w:rFonts w:cs="Arial"/>
        <w:noProof/>
        <w:snapToGrid w:val="0"/>
        <w:color w:val="000000"/>
        <w:sz w:val="16"/>
        <w:szCs w:val="16"/>
        <w:lang w:val="pt-BR"/>
      </w:rPr>
      <w:t xml:space="preserve"> SGM 1665-A</w:t>
    </w:r>
    <w:r w:rsidR="00445792" w:rsidRPr="00445792">
      <w:rPr>
        <w:rFonts w:cs="Arial"/>
        <w:noProof/>
        <w:sz w:val="16"/>
        <w:szCs w:val="16"/>
        <w:lang w:val="pt-BR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112921">
      <w:rPr>
        <w:rFonts w:cs="Arial"/>
        <w:snapToGrid w:val="0"/>
        <w:color w:val="000000"/>
        <w:sz w:val="16"/>
        <w:lang w:val="pt-BR"/>
      </w:rPr>
      <w:tab/>
      <w:t>© 202</w:t>
    </w:r>
    <w:r w:rsidR="000A2BD1">
      <w:rPr>
        <w:rFonts w:cs="Arial"/>
        <w:snapToGrid w:val="0"/>
        <w:color w:val="000000"/>
        <w:sz w:val="16"/>
        <w:lang w:val="pt-BR"/>
      </w:rPr>
      <w:t>5</w:t>
    </w:r>
    <w:r w:rsidRPr="00112921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48D93E90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68A0B1E" w:rsidR="00F75C81" w:rsidRPr="0070747C" w:rsidRDefault="00C36B72" w:rsidP="0070747C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E2C977C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112921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445792" w:rsidRPr="00445792">
      <w:rPr>
        <w:rFonts w:cs="Arial"/>
        <w:noProof/>
        <w:sz w:val="16"/>
        <w:szCs w:val="16"/>
        <w:lang w:val="pt-BR"/>
      </w:rPr>
      <w:t>temozolomide-Temodar</w:t>
    </w:r>
    <w:r w:rsidR="00445792">
      <w:rPr>
        <w:rFonts w:cs="Arial"/>
        <w:noProof/>
        <w:snapToGrid w:val="0"/>
        <w:color w:val="000000"/>
        <w:sz w:val="16"/>
        <w:szCs w:val="16"/>
        <w:lang w:val="pt-BR"/>
      </w:rPr>
      <w:t xml:space="preserve"> SGM 1665-A</w:t>
    </w:r>
    <w:r w:rsidR="00445792" w:rsidRPr="00445792">
      <w:rPr>
        <w:rFonts w:cs="Arial"/>
        <w:noProof/>
        <w:sz w:val="16"/>
        <w:szCs w:val="16"/>
        <w:lang w:val="pt-BR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112921">
      <w:rPr>
        <w:rFonts w:cs="Arial"/>
        <w:snapToGrid w:val="0"/>
        <w:color w:val="000000"/>
        <w:sz w:val="16"/>
        <w:lang w:val="pt-BR"/>
      </w:rPr>
      <w:tab/>
      <w:t>© 202</w:t>
    </w:r>
    <w:r w:rsidR="000A2BD1">
      <w:rPr>
        <w:rFonts w:cs="Arial"/>
        <w:snapToGrid w:val="0"/>
        <w:color w:val="000000"/>
        <w:sz w:val="16"/>
        <w:lang w:val="pt-BR"/>
      </w:rPr>
      <w:t>5</w:t>
    </w:r>
    <w:r w:rsidRPr="00112921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04C4BCC0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64AF5CF" w:rsidR="00ED04EC" w:rsidRPr="0070747C" w:rsidRDefault="00F50D98" w:rsidP="0070747C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FD06A" w14:textId="77777777" w:rsidR="0041725A" w:rsidRDefault="0041725A">
      <w:r>
        <w:separator/>
      </w:r>
    </w:p>
  </w:footnote>
  <w:footnote w:type="continuationSeparator" w:id="0">
    <w:p w14:paraId="2D81E202" w14:textId="77777777" w:rsidR="0041725A" w:rsidRDefault="0041725A">
      <w:r>
        <w:continuationSeparator/>
      </w:r>
    </w:p>
  </w:footnote>
  <w:footnote w:type="continuationNotice" w:id="1">
    <w:p w14:paraId="1EE3520A" w14:textId="77777777" w:rsidR="0041725A" w:rsidRDefault="004172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021C3" w:rsidRPr="000021C3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0021C3" w:rsidRDefault="00ED04EC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0021C3">
            <w:rPr>
              <w:rFonts w:cs="Arial"/>
              <w:color w:val="000000" w:themeColor="text1"/>
              <w:sz w:val="16"/>
              <w:szCs w:val="16"/>
            </w:rPr>
            <w:t>Reference number(s)</w:t>
          </w:r>
        </w:p>
      </w:tc>
    </w:tr>
    <w:tr w:rsidR="00ED04EC" w:rsidRPr="000021C3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22CF4D90" w:rsidR="00ED04EC" w:rsidRPr="000021C3" w:rsidRDefault="000021C3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0021C3">
            <w:rPr>
              <w:rFonts w:cs="Arial"/>
              <w:color w:val="000000" w:themeColor="text1"/>
              <w:sz w:val="16"/>
              <w:szCs w:val="16"/>
            </w:rPr>
            <w:t>1665-A</w:t>
          </w:r>
        </w:p>
      </w:tc>
    </w:tr>
  </w:tbl>
  <w:p w14:paraId="0D5ACCC2" w14:textId="462A1075" w:rsidR="00ED04EC" w:rsidRPr="000021C3" w:rsidRDefault="00ED04EC" w:rsidP="00B02279">
    <w:pPr>
      <w:pStyle w:val="Header"/>
      <w:rPr>
        <w:color w:val="000000" w:themeColor="text1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BF4C64"/>
    <w:multiLevelType w:val="hybridMultilevel"/>
    <w:tmpl w:val="B6DED41C"/>
    <w:lvl w:ilvl="0" w:tplc="33B4F5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3A48D8"/>
    <w:multiLevelType w:val="hybridMultilevel"/>
    <w:tmpl w:val="A3186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84456"/>
    <w:multiLevelType w:val="hybridMultilevel"/>
    <w:tmpl w:val="C6A2C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4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8"/>
  </w:num>
  <w:num w:numId="17" w16cid:durableId="2128498676">
    <w:abstractNumId w:val="26"/>
  </w:num>
  <w:num w:numId="18" w16cid:durableId="299724409">
    <w:abstractNumId w:val="21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7"/>
  </w:num>
  <w:num w:numId="22" w16cid:durableId="1472481103">
    <w:abstractNumId w:val="23"/>
  </w:num>
  <w:num w:numId="23" w16cid:durableId="1997420403">
    <w:abstractNumId w:val="25"/>
  </w:num>
  <w:num w:numId="24" w16cid:durableId="33312838">
    <w:abstractNumId w:val="22"/>
  </w:num>
  <w:num w:numId="25" w16cid:durableId="507404939">
    <w:abstractNumId w:val="17"/>
  </w:num>
  <w:num w:numId="26" w16cid:durableId="508132345">
    <w:abstractNumId w:val="19"/>
  </w:num>
  <w:num w:numId="27" w16cid:durableId="946694475">
    <w:abstractNumId w:val="16"/>
  </w:num>
  <w:num w:numId="28" w16cid:durableId="848906195">
    <w:abstractNumId w:val="27"/>
  </w:num>
  <w:num w:numId="29" w16cid:durableId="982077555">
    <w:abstractNumId w:val="12"/>
  </w:num>
  <w:num w:numId="30" w16cid:durableId="737438678">
    <w:abstractNumId w:val="27"/>
  </w:num>
  <w:num w:numId="31" w16cid:durableId="132529307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1C3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5D2E"/>
    <w:rsid w:val="00025DB7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2BD1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06B0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6FFC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2921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24B7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2930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3F4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6F23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109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9BA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E36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2F3C"/>
    <w:rsid w:val="002D35B0"/>
    <w:rsid w:val="002D49E5"/>
    <w:rsid w:val="002D6257"/>
    <w:rsid w:val="002D6987"/>
    <w:rsid w:val="002D6EDC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3DD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5A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6C1D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792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6DDA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3ED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23A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8FC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093"/>
    <w:rsid w:val="00537391"/>
    <w:rsid w:val="005376CF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5E8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59B"/>
    <w:rsid w:val="00663627"/>
    <w:rsid w:val="00665820"/>
    <w:rsid w:val="00666579"/>
    <w:rsid w:val="00666A21"/>
    <w:rsid w:val="00666FFD"/>
    <w:rsid w:val="00667755"/>
    <w:rsid w:val="00667944"/>
    <w:rsid w:val="00670665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B7633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296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040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7C"/>
    <w:rsid w:val="007074F5"/>
    <w:rsid w:val="00711A5B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0E3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5CA8"/>
    <w:rsid w:val="007D68CB"/>
    <w:rsid w:val="007D7A1C"/>
    <w:rsid w:val="007D7D7B"/>
    <w:rsid w:val="007D7FE6"/>
    <w:rsid w:val="007E00AB"/>
    <w:rsid w:val="007E01A4"/>
    <w:rsid w:val="007E03EC"/>
    <w:rsid w:val="007E0581"/>
    <w:rsid w:val="007E07C6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7F720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638D"/>
    <w:rsid w:val="00806700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B1B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3184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A3E"/>
    <w:rsid w:val="0094296E"/>
    <w:rsid w:val="0094298C"/>
    <w:rsid w:val="009434E1"/>
    <w:rsid w:val="0094553A"/>
    <w:rsid w:val="00947FC1"/>
    <w:rsid w:val="009517E1"/>
    <w:rsid w:val="00951B46"/>
    <w:rsid w:val="00952AA9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4EFE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6EB0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84"/>
    <w:rsid w:val="00A672B3"/>
    <w:rsid w:val="00A676CB"/>
    <w:rsid w:val="00A67BE5"/>
    <w:rsid w:val="00A67DB2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3A1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4A6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12D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461A"/>
    <w:rsid w:val="00B253A6"/>
    <w:rsid w:val="00B25C33"/>
    <w:rsid w:val="00B25E29"/>
    <w:rsid w:val="00B2662C"/>
    <w:rsid w:val="00B26C72"/>
    <w:rsid w:val="00B2719B"/>
    <w:rsid w:val="00B30C78"/>
    <w:rsid w:val="00B3162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1FF6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C0A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AC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834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4F3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854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496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860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03D7"/>
    <w:rsid w:val="00DC06A4"/>
    <w:rsid w:val="00DC1591"/>
    <w:rsid w:val="00DC2163"/>
    <w:rsid w:val="00DC26E9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276DC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8F2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4AE0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5989"/>
    <w:rsid w:val="00FE5A7A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online.lexi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9F0014-59D4-4397-B197-044522A65D20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purl.org/dc/terms/"/>
    <ds:schemaRef ds:uri="http://schemas.openxmlformats.org/package/2006/metadata/core-properties"/>
    <ds:schemaRef ds:uri="ce173f13-e3a2-4c5f-8c54-d0382ae8801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2fadf2-6cae-45bc-95f6-bc2613b9857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570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temozolomide-Temodar SGM 1665-A</vt:lpstr>
    </vt:vector>
  </TitlesOfParts>
  <Company>CVS Caremark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temozolomide-Temodar SGM 1665-A</dc:title>
  <dc:subject>temozolomide-Temodar SGM 1665-A</dc:subject>
  <dc:creator>CVS Caremark</dc:creator>
  <cp:keywords/>
  <cp:lastModifiedBy>Reynoso, Victor H</cp:lastModifiedBy>
  <cp:revision>5</cp:revision>
  <cp:lastPrinted>2024-04-12T08:14:00Z</cp:lastPrinted>
  <dcterms:created xsi:type="dcterms:W3CDTF">2025-04-23T15:29:00Z</dcterms:created>
  <dcterms:modified xsi:type="dcterms:W3CDTF">2025-04-23T15:32:00Z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ComplianceAssetId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Order">
    <vt:r8>1329900</vt:r8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TemplateUrl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